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韩非子法意</w:t>
      </w:r>
    </w:p>
    <w:p>
      <w:r>
        <w:rPr>
          <w:rFonts w:ascii="宋体" w:hAnsi="宋体" w:eastAsia="宋体"/>
          <w:sz w:val="24"/>
        </w:rPr>
        <w:t>夏忠道著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韩非子法意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韩非子-法治(学科: 思想评论) 法治-韩非子(学科: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本书出售、求购地址：https://www.jiaokey.com/book/detail/12687427.html</w:t>
      </w:r>
    </w:p>
    <w:p>
      <w:r>
        <w:t>更多相关图书推荐：https://www.jiaokey.com</w:t>
      </w:r>
    </w:p>
    <w:p>
      <w:r>
        <w:t>夏忠道著 其他作品：https://www.jiaokey.com/tag/夏忠道著.html</w:t>
      </w:r>
    </w:p>
    <w:p>
      <w:r>
        <w:t>青年协会书局 出版图书：https://www.jiaokey.com/tag/青年协会书局.html</w:t>
      </w:r>
    </w:p>
    <w:p>
      <w:r>
        <w:t>关键词搜索：https://www.jiaokey.com/tag/韩非子-法治(学科: 思想评论) 法治-韩非子(学科: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