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最新医疗事故分级标准解读与事故责任认定及赔偿金额计算标准实用全书  1</w:t>
      </w:r>
    </w:p>
    <w:p>
      <w:r>
        <w:rPr>
          <w:rFonts w:ascii="宋体" w:hAnsi="宋体" w:eastAsia="宋体"/>
          <w:sz w:val="24"/>
        </w:rPr>
        <w:t>彭志源编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最新医疗事故分级标准解读与事故责任认定及赔偿金额计算标准实用全书  1</w:t>
            </w:r>
          </w:p>
        </w:tc>
      </w:tr>
      <w:tr>
        <w:tc>
          <w:tcPr>
            <w:tcW w:type="dxa" w:w="4320"/>
          </w:tcPr>
          <w:p>
            <w:r>
              <w:t>作者</w:t>
            </w:r>
          </w:p>
        </w:tc>
        <w:tc>
          <w:tcPr>
            <w:tcW w:type="dxa" w:w="4320"/>
          </w:tcPr>
          <w:p>
            <w:r>
              <w:t>彭志源编</w:t>
            </w:r>
          </w:p>
        </w:tc>
      </w:tr>
      <w:tr>
        <w:tc>
          <w:tcPr>
            <w:tcW w:type="dxa" w:w="4320"/>
          </w:tcPr>
          <w:p>
            <w:r>
              <w:t>出版社</w:t>
            </w:r>
          </w:p>
        </w:tc>
        <w:tc>
          <w:tcPr>
            <w:tcW w:type="dxa" w:w="4320"/>
          </w:tcPr>
          <w:p>
            <w:r>
              <w:t>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466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本书出售、求购地址：https://www.jiaokey.com/book/detail/12682471.html</w:t>
      </w:r>
    </w:p>
    <w:p>
      <w:r>
        <w:t>更多相关图书推荐：https://www.jiaokey.com</w:t>
      </w:r>
    </w:p>
    <w:p>
      <w:r>
        <w:t>彭志源编 其他作品：https://www.jiaokey.com/tag/彭志源编.html</w:t>
      </w:r>
    </w:p>
    <w:p>
      <w:r>
        <w:t>中国科技文化出版社 出版图书：https://www.jiaokey.com/tag/中国科技文化出版社.html</w:t>
      </w:r>
    </w:p>
    <w:p>
      <w:r>
        <w:t>关键词搜索：https://www.jiaokey.com/tag/最新医疗事故分级标准解读与事故责任认定及赔偿金额计算标准实用全书  1.html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