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现行刑事特别法规释例汇纂</w:t>
      </w:r>
    </w:p>
    <w:p>
      <w:r>
        <w:rPr>
          <w:rFonts w:ascii="宋体" w:hAnsi="宋体" w:eastAsia="宋体"/>
          <w:sz w:val="24"/>
        </w:rPr>
        <w:t>律师黄荣昌编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现行刑事特别法规释例汇纂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律师黄荣昌编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本书出售、求购地址：https://www.jiaokey.com/book/detail/12669466.html</w:t>
      </w:r>
    </w:p>
    <w:p>
      <w:r>
        <w:t>更多相关图书推荐：https://www.jiaokey.com</w:t>
      </w:r>
    </w:p>
    <w:p>
      <w:r>
        <w:t>律师黄荣昌编 其他作品：https://www.jiaokey.com/tag/律师黄荣昌编.html</w:t>
      </w:r>
    </w:p>
    <w:p>
      <w:r>
        <w:t>上海法政学社 出版图书：https://www.jiaokey.com/tag/上海法政学社.html</w:t>
      </w:r>
    </w:p>
    <w:p>
      <w:r>
        <w:t>关键词搜索：https://www.jiaokey.com/tag/现行刑事特别法规释例汇纂.html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