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信道编码及其识别分析</w:t>
      </w:r>
    </w:p>
    <w:p>
      <w:r>
        <w:rPr>
          <w:rFonts w:ascii="宋体" w:hAnsi="宋体" w:eastAsia="宋体"/>
          <w:sz w:val="24"/>
        </w:rPr>
        <w:t>张永光，楼才义著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信道编码及其识别分析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张永光，楼才义著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本书出售、求购地址：https://www.jiaokey.com/book/detail/12667060.html</w:t>
      </w:r>
    </w:p>
    <w:p>
      <w:r>
        <w:t>更多相关图书推荐：https://www.jiaokey.com</w:t>
      </w:r>
    </w:p>
    <w:p>
      <w:r>
        <w:t>张永光，楼才义著 其他作品：https://www.jiaokey.com/tag/张永光，楼才义著.html</w:t>
      </w:r>
    </w:p>
    <w:p>
      <w:r>
        <w:t>关键词搜索：https://www.jiaokey.com/tag/信道编码及其识别分析.html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