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大型田径赛裁判员学习指南</w:t>
      </w:r>
    </w:p>
    <w:p>
      <w:r>
        <w:rPr>
          <w:rFonts w:ascii="宋体" w:hAnsi="宋体" w:eastAsia="宋体"/>
          <w:sz w:val="24"/>
        </w:rPr>
        <w:t>张思温编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2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大型田径赛裁判员学习指南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本书出售、求购地址：https://www.jiaokey.com/book/detail/12662758.html</w:t>
      </w:r>
    </w:p>
    <w:p>
      <w:r>
        <w:t>更多相关图书推荐：https://www.jiaokey.com</w:t>
      </w:r>
    </w:p>
    <w:p>
      <w:r>
        <w:t>张思温编 其他作品：https://www.jiaokey.com/tag/张思温编.html</w:t>
      </w:r>
    </w:p>
    <w:p>
      <w:r>
        <w:t>北京体育大学学报编辑部 出版图书：https://www.jiaokey.com/tag/北京体育大学学报编辑部.html</w:t>
      </w:r>
    </w:p>
    <w:p>
      <w:r>
        <w:t>关键词搜索：https://www.jiaokey.com/tag/大型田径赛裁判员学习指南.html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