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非均衡格局中的地方自主性 对海南经济特区（1998-2002年）发展的实证研究</w:t>
      </w:r>
    </w:p>
    <w:p>
      <w:r>
        <w:rPr>
          <w:rFonts w:ascii="宋体" w:hAnsi="宋体" w:eastAsia="宋体"/>
          <w:sz w:val="24"/>
        </w:rPr>
        <w:t>沈德理著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非均衡格局中的地方自主性 对海南经济特区（1998-2002年）发展的实证研究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本书出售、求购地址：https://www.jiaokey.com/book/detail/12661423.html</w:t>
      </w:r>
    </w:p>
    <w:p>
      <w:r>
        <w:t>更多相关图书推荐：https://www.jiaokey.com</w:t>
      </w:r>
    </w:p>
    <w:p>
      <w:r>
        <w:t>沈德理著 其他作品：https://www.jiaokey.com/tag/沈德理著.html</w:t>
      </w:r>
    </w:p>
    <w:p>
      <w:r>
        <w:t>关键词搜索：https://www.jiaokey.com/tag/非均衡格局中的地方自主性 对海南经济特区（1998-2002年）发展的实证研究.html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