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新疆库鲁克塔震旦纪、寒武纪地层划分和对比</w:t>
      </w:r>
    </w:p>
    <w:p>
      <w:r>
        <w:rPr>
          <w:rFonts w:ascii="宋体" w:hAnsi="宋体" w:eastAsia="宋体"/>
          <w:sz w:val="24"/>
        </w:rPr>
        <w:t>高振家，彭昌文，李永安等编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新疆库鲁克塔震旦纪、寒武纪地层划分和对比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高振家，彭昌文，李永安等编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本书出售、求购地址：https://www.jiaokey.com/book/detail/12655223.html</w:t>
      </w:r>
    </w:p>
    <w:p>
      <w:r>
        <w:t>更多相关图书推荐：https://www.jiaokey.com</w:t>
      </w:r>
    </w:p>
    <w:p>
      <w:r>
        <w:t>高振家，彭昌文，李永安等编 其他作品：https://www.jiaokey.com/tag/高振家，彭昌文，李永安等编.html</w:t>
      </w:r>
    </w:p>
    <w:p>
      <w:r>
        <w:t>关键词搜索：https://www.jiaokey.com/tag/新疆库鲁克塔震旦纪、寒武纪地层划分和对比.html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