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国际商会  跟单信用证统一惯例介绍</w:t>
      </w:r>
    </w:p>
    <w:p>
      <w:r>
        <w:rPr>
          <w:rFonts w:ascii="宋体" w:hAnsi="宋体" w:eastAsia="宋体"/>
          <w:sz w:val="24"/>
        </w:rPr>
        <w:t>中国银行青岛分行编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国际商会  跟单信用证统一惯例介绍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中国银行青岛分行编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本书出售、求购地址：https://www.jiaokey.com/book/detail/12647537.html</w:t>
      </w:r>
    </w:p>
    <w:p>
      <w:r>
        <w:t>更多相关图书推荐：https://www.jiaokey.com</w:t>
      </w:r>
    </w:p>
    <w:p>
      <w:r>
        <w:t>中国银行青岛分行编 其他作品：https://www.jiaokey.com/tag/中国银行青岛分行编.html</w:t>
      </w:r>
    </w:p>
    <w:p>
      <w:r>
        <w:t>关键词搜索：https://www.jiaokey.com/tag/国际商会  跟单信用证统一惯例介绍.html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