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水彩漫流法</w:t>
      </w:r>
    </w:p>
    <w:p>
      <w:r>
        <w:rPr>
          <w:rFonts w:ascii="宋体" w:hAnsi="宋体" w:eastAsia="宋体"/>
          <w:sz w:val="24"/>
        </w:rPr>
        <w:t>（美）盖伊·利普斯科姆著；吴小馨等译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水彩漫流法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（美）盖伊·利普斯科姆著；吴小馨等译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本书出售、求购地址：https://www.jiaokey.com/book/detail/12645283.html</w:t>
      </w:r>
    </w:p>
    <w:p>
      <w:r>
        <w:t>更多相关图书推荐：https://www.jiaokey.com</w:t>
      </w:r>
    </w:p>
    <w:p>
      <w:r>
        <w:t>（美）盖伊·利普斯科姆著；吴小馨等译 其他作品：https://www.jiaokey.com/tag/（美）盖伊·利普斯科姆著；吴小馨等译.html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关键词搜索：https://www.jiaokey.com/tag/水彩漫流法.html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