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农民用水户协会形成及运行机理研究  基于内蒙古世行WUA项目的分析</w:t>
      </w:r>
    </w:p>
    <w:p>
      <w:r>
        <w:rPr>
          <w:rFonts w:ascii="宋体" w:hAnsi="宋体" w:eastAsia="宋体"/>
          <w:sz w:val="24"/>
        </w:rPr>
        <w:t>“内蒙古农民用水户协会建立，运行和管理问题研究”课题组著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农民用水户协会形成及运行机理研究  基于内蒙古世行WUA项目的分析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“内蒙古农民用水户协会建立，运行和管理问题研究”课题组著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本书出售、求购地址：https://www.jiaokey.com/book/detail/12643986.html</w:t>
      </w:r>
    </w:p>
    <w:p>
      <w:r>
        <w:t>更多相关图书推荐：https://www.jiaokey.com</w:t>
      </w:r>
    </w:p>
    <w:p>
      <w:r>
        <w:t>“内蒙古农民用水户协会建立，运行和管理问题研究”课题组著 其他作品：https://www.jiaokey.com/tag/“内蒙古农民用水户协会建立，运行和管理问题研究”课题组著.html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关键词搜索：https://www.jiaokey.com/tag/农民用水户协会形成及运行机理研究  基于内蒙古世行WUA项目的分析.html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