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质感传奇  3DS MAX 写实渲染完全实例教程</w:t>
      </w:r>
    </w:p>
    <w:p>
      <w:r>
        <w:rPr>
          <w:rFonts w:ascii="宋体" w:hAnsi="宋体" w:eastAsia="宋体"/>
          <w:sz w:val="24"/>
        </w:rPr>
        <w:t>张永昌编著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质感传奇  3DS MAX 写实渲染完全实例教程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本书出售、求购地址：https://www.jiaokey.com/book/detail/12636688.html</w:t>
      </w:r>
    </w:p>
    <w:p>
      <w:r>
        <w:t>更多相关图书推荐：https://www.jiaokey.com</w:t>
      </w:r>
    </w:p>
    <w:p>
      <w:r>
        <w:t>张永昌编著 其他作品：https://www.jiaokey.com/tag/张永昌编著.html</w:t>
      </w:r>
    </w:p>
    <w:p>
      <w:r>
        <w:t>关键词搜索：https://www.jiaokey.com/tag/质感传奇  3DS MAX 写实渲染完全实例教程.html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