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梅坞贻琼</w:t>
      </w:r>
    </w:p>
    <w:p>
      <w:r>
        <w:rPr>
          <w:rFonts w:ascii="宋体" w:hAnsi="宋体" w:eastAsia="宋体"/>
          <w:sz w:val="24"/>
        </w:rPr>
        <w:t>（明）汪显节校编；（明）曹璇编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梅坞贻琼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（明）汪显节校编；（明）曹璇编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本书出售、求购地址：https://www.jiaokey.com/book/detail/12629915.html</w:t>
      </w:r>
    </w:p>
    <w:p>
      <w:r>
        <w:t>更多相关图书推荐：https://www.jiaokey.com</w:t>
      </w:r>
    </w:p>
    <w:p>
      <w:r>
        <w:t>（明）汪显节校编；（明）曹璇编 其他作品：https://www.jiaokey.com/tag/（明）汪显节校编；（明）曹璇编.html</w:t>
      </w:r>
    </w:p>
    <w:p>
      <w:r>
        <w:t>民国25 出版图书：https://www.jiaokey.com/tag/民国25.html</w:t>
      </w:r>
    </w:p>
    <w:p>
      <w:r>
        <w:t>关键词搜索：https://www.jiaokey.com/tag/古籍(地点:中国年代:民国学科:丛书).html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