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单位犯罪法律适用新论</w:t>
      </w:r>
    </w:p>
    <w:p>
      <w:r>
        <w:rPr>
          <w:rFonts w:ascii="宋体" w:hAnsi="宋体" w:eastAsia="宋体"/>
          <w:sz w:val="24"/>
        </w:rPr>
        <w:t>张汉昌著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单位犯罪法律适用新论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兰州市天水路308号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本书出售、求购地址：https://www.jiaokey.com/book/detail/12627354.html</w:t>
      </w:r>
    </w:p>
    <w:p>
      <w:r>
        <w:t>更多相关图书推荐：https://www.jiaokey.com</w:t>
      </w:r>
    </w:p>
    <w:p>
      <w:r>
        <w:t>张汉昌著 其他作品：https://www.jiaokey.com/tag/张汉昌著.html</w:t>
      </w:r>
    </w:p>
    <w:p>
      <w:r>
        <w:t>兰州市天水路308号 出版图书：https://www.jiaokey.com/tag/兰州市天水路308号.html</w:t>
      </w:r>
    </w:p>
    <w:p>
      <w:r>
        <w:t>关键词搜索：https://www.jiaokey.com/tag/单位犯罪法律适用新论.html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