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四川省各县市国民教育实施概况  民国二十九年八月至三十年七月</w:t>
      </w:r>
    </w:p>
    <w:p>
      <w:r>
        <w:rPr>
          <w:rFonts w:ascii="宋体" w:hAnsi="宋体" w:eastAsia="宋体"/>
          <w:sz w:val="24"/>
        </w:rPr>
        <w:t>四川省教育厅编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四川省各县市国民教育实施概况  民国二十九年八月至三十年七月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本书出售、求购地址：https://www.jiaokey.com/book/detail/12623515.html</w:t>
      </w:r>
    </w:p>
    <w:p>
      <w:r>
        <w:t>更多相关图书推荐：https://www.jiaokey.com</w:t>
      </w:r>
    </w:p>
    <w:p>
      <w:r>
        <w:t>四川省教育厅编 其他作品：https://www.jiaokey.com/tag/四川省教育厅编.html</w:t>
      </w:r>
    </w:p>
    <w:p>
      <w:r>
        <w:t>四川省教育厅 出版图书：https://www.jiaokey.com/tag/四川省教育厅.html</w:t>
      </w:r>
    </w:p>
    <w:p>
      <w:r>
        <w:t>关键词搜索：https://www.jiaokey.com/tag/四川省各县市国民教育实施概况  民国二十九年八月至三十年七月.html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