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</w:t>
      </w:r>
    </w:p>
    <w:p>
      <w:r>
        <w:rPr>
          <w:rFonts w:ascii="宋体" w:hAnsi="宋体" w:eastAsia="宋体"/>
          <w:sz w:val="24"/>
        </w:rPr>
        <w:t>《耕耘与收获：陶立璠先生古稀华诞纪念文集》编委会编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《耕耘与收获：陶立璠先生古稀华诞纪念文集》编委会编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本书出售、求购地址：https://www.jiaokey.com/book/detail/12621713.html</w:t>
      </w:r>
    </w:p>
    <w:p>
      <w:r>
        <w:t>更多相关图书推荐：https://www.jiaokey.com</w:t>
      </w:r>
    </w:p>
    <w:p>
      <w:r>
        <w:t>《耕耘与收获：陶立璠先生古稀华诞纪念文集》编委会编 其他作品：https://www.jiaokey.com/tag/《耕耘与收获：陶立璠先生古稀华诞纪念文集》编委会编.html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关键词搜索：https://www.jiaokey.com/tag/耕耘与收获.html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