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图案写生变化</w:t>
      </w:r>
    </w:p>
    <w:p>
      <w:r>
        <w:rPr>
          <w:rFonts w:ascii="宋体" w:hAnsi="宋体" w:eastAsia="宋体"/>
          <w:sz w:val="24"/>
        </w:rPr>
        <w:t>四川美术学院，北京市第一轻工业研究所合编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图案写生变化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四川美术学院，北京市第一轻工业研究所合编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本书出售、求购地址：https://www.jiaokey.com/book/detail/12607177.html</w:t>
      </w:r>
    </w:p>
    <w:p>
      <w:r>
        <w:t>更多相关图书推荐：https://www.jiaokey.com</w:t>
      </w:r>
    </w:p>
    <w:p>
      <w:r>
        <w:t>四川美术学院，北京市第一轻工业研究所合编 其他作品：https://www.jiaokey.com/tag/四川美术学院，北京市第一轻工业研究所合编.html</w:t>
      </w:r>
    </w:p>
    <w:p>
      <w:r>
        <w:t>关键词搜索：https://www.jiaokey.com/tag/图案写生变化.html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