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鱼类观赏及其近距离定向</w:t>
      </w:r>
    </w:p>
    <w:p>
      <w:r>
        <w:rPr>
          <w:rFonts w:ascii="宋体" w:hAnsi="宋体" w:eastAsia="宋体"/>
          <w:sz w:val="24"/>
        </w:rPr>
        <w:t>B.P.普拉塔索夫编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鱼类观赏及其近距离定向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B.P.普拉塔索夫编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本书出售、求购地址：https://www.jiaokey.com/book/detail/12606068.html</w:t>
      </w:r>
    </w:p>
    <w:p>
      <w:r>
        <w:t>更多相关图书推荐：https://www.jiaokey.com</w:t>
      </w:r>
    </w:p>
    <w:p>
      <w:r>
        <w:t>B.P.普拉塔索夫编 其他作品：https://www.jiaokey.com/tag/B.P.普拉塔索夫编.html</w:t>
      </w:r>
    </w:p>
    <w:p>
      <w:r>
        <w:t>厦门大学教务处 出版图书：https://www.jiaokey.com/tag/厦门大学教务处.html</w:t>
      </w:r>
    </w:p>
    <w:p>
      <w:r>
        <w:t>关键词搜索：https://www.jiaokey.com/tag/鱼类观赏及其近距离定向.html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