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黄淮海平原中低产区综合治理与综合开发研究</w:t>
      </w:r>
    </w:p>
    <w:p>
      <w:r>
        <w:rPr>
          <w:rFonts w:ascii="宋体" w:hAnsi="宋体" w:eastAsia="宋体"/>
          <w:sz w:val="24"/>
        </w:rPr>
        <w:t>中国农科院区划所“黄淮海”课题组编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黄淮海平原中低产区综合治理与综合开发研究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中国农科院区划所“黄淮海”课题组编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中国农科院区划所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本书出售、求购地址：https://www.jiaokey.com/book/detail/12604098.html</w:t>
      </w:r>
    </w:p>
    <w:p>
      <w:r>
        <w:t>更多相关图书推荐：https://www.jiaokey.com</w:t>
      </w:r>
    </w:p>
    <w:p>
      <w:r>
        <w:t>中国农科院区划所“黄淮海”课题组编 其他作品：https://www.jiaokey.com/tag/中国农科院区划所“黄淮海”课题组编.html</w:t>
      </w:r>
    </w:p>
    <w:p>
      <w:r>
        <w:t>中国农科院区划所 出版图书：https://www.jiaokey.com/tag/中国农科院区划所.html</w:t>
      </w:r>
    </w:p>
    <w:p>
      <w:r>
        <w:t>关键词搜索：https://www.jiaokey.com/tag/黄淮海平原中低产区综合治理与综合开发研究.html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