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诗本义析论——以欧阳修与龚橙诗义论述为中心</w:t>
      </w:r>
    </w:p>
    <w:p>
      <w:r>
        <w:rPr>
          <w:rFonts w:ascii="宋体" w:hAnsi="宋体" w:eastAsia="宋体"/>
          <w:sz w:val="24"/>
        </w:rPr>
        <w:t>车行健著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诗本义析论——以欧阳修与龚橙诗义论述为中心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本书出售、求购地址：https://www.jiaokey.com/book/detail/12600297.html</w:t>
      </w:r>
    </w:p>
    <w:p>
      <w:r>
        <w:t>更多相关图书推荐：https://www.jiaokey.com</w:t>
      </w:r>
    </w:p>
    <w:p>
      <w:r>
        <w:t>车行健著 其他作品：https://www.jiaokey.com/tag/车行健著.html</w:t>
      </w:r>
    </w:p>
    <w:p>
      <w:r>
        <w:t>里仁书局 出版图书：https://www.jiaokey.com/tag/里仁书局.html</w:t>
      </w:r>
    </w:p>
    <w:p>
      <w:r>
        <w:t>关键词搜索：https://www.jiaokey.com/tag/诗本义析论——以欧阳修与龚橙诗义论述为中心.html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