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杜拜&amp;CO·  掌握波湾国家商机的全球布局</w:t>
      </w:r>
    </w:p>
    <w:p>
      <w:r>
        <w:rPr>
          <w:rFonts w:ascii="宋体" w:hAnsi="宋体" w:eastAsia="宋体"/>
          <w:sz w:val="24"/>
        </w:rPr>
        <w:t>阿米尔·雷曼著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杜拜&amp;CO·  掌握波湾国家商机的全球布局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阿米尔·雷曼著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本书出售、求购地址：https://www.jiaokey.com/book/detail/12598715.html</w:t>
      </w:r>
    </w:p>
    <w:p>
      <w:r>
        <w:t>更多相关图书推荐：https://www.jiaokey.com</w:t>
      </w:r>
    </w:p>
    <w:p>
      <w:r>
        <w:t>阿米尔·雷曼著 其他作品：https://www.jiaokey.com/tag/阿米尔·雷曼著.html</w:t>
      </w:r>
    </w:p>
    <w:p>
      <w:r>
        <w:t>麦格罗希尔 出版图书：https://www.jiaokey.com/tag/麦格罗希尔.html</w:t>
      </w:r>
    </w:p>
    <w:p>
      <w:r>
        <w:t>关键词搜索：https://www.jiaokey.com/tag/杜拜&amp;CO·  掌握波湾国家商机的全球布局.html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