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何劳弦上音  谈陶渊明的“无弦琴”</w:t>
      </w:r>
    </w:p>
    <w:p>
      <w:r>
        <w:rPr>
          <w:rFonts w:ascii="宋体" w:hAnsi="宋体" w:eastAsia="宋体"/>
          <w:sz w:val="24"/>
        </w:rPr>
        <w:t>陈美利著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何劳弦上音  谈陶渊明的“无弦琴”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国立新竹师范学院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本书出售、求购地址：https://www.jiaokey.com/book/detail/12598149.html</w:t>
      </w:r>
    </w:p>
    <w:p>
      <w:r>
        <w:t>更多相关图书推荐：https://www.jiaokey.com</w:t>
      </w:r>
    </w:p>
    <w:p>
      <w:r>
        <w:t>陈美利著 其他作品：https://www.jiaokey.com/tag/陈美利著.html</w:t>
      </w:r>
    </w:p>
    <w:p>
      <w:r>
        <w:t>国立新竹师范学院 出版图书：https://www.jiaokey.com/tag/国立新竹师范学院.html</w:t>
      </w:r>
    </w:p>
    <w:p>
      <w:r>
        <w:t>关键词搜索：https://www.jiaokey.com/tag/何劳弦上音  谈陶渊明的“无弦琴”.html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