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花卉花期控制</w:t>
      </w:r>
    </w:p>
    <w:p>
      <w:r>
        <w:rPr>
          <w:rFonts w:ascii="宋体" w:hAnsi="宋体" w:eastAsia="宋体"/>
          <w:sz w:val="24"/>
        </w:rPr>
        <w:t>小西国义，今西英雄，五川正宪著；李睿明译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花卉花期控制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小西国义，今西英雄，五川正宪著；李睿明译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本书出售、求购地址：https://www.jiaokey.com/book/detail/12594831.html</w:t>
      </w:r>
    </w:p>
    <w:p>
      <w:r>
        <w:t>更多相关图书推荐：https://www.jiaokey.com</w:t>
      </w:r>
    </w:p>
    <w:p>
      <w:r>
        <w:t>小西国义，今西英雄，五川正宪著；李睿明译 其他作品：https://www.jiaokey.com/tag/小西国义，今西英雄，五川正宪著；李睿明译.html</w:t>
      </w:r>
    </w:p>
    <w:p>
      <w:r>
        <w:t>淑馨出版社 出版图书：https://www.jiaokey.com/tag/淑馨出版社.html</w:t>
      </w:r>
    </w:p>
    <w:p>
      <w:r>
        <w:t>关键词搜索：https://www.jiaokey.com/tag/花卉花期控制.html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