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先秦两汉冥界及神仙思想探原</w:t>
      </w:r>
    </w:p>
    <w:p>
      <w:r>
        <w:rPr>
          <w:rFonts w:ascii="宋体" w:hAnsi="宋体" w:eastAsia="宋体"/>
          <w:sz w:val="24"/>
        </w:rPr>
        <w:t>萧登福著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先秦两汉冥界及神仙思想探原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萧登福著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本书出售、求购地址：https://www.jiaokey.com/book/detail/12593330.html</w:t>
      </w:r>
    </w:p>
    <w:p>
      <w:r>
        <w:t>更多相关图书推荐：https://www.jiaokey.com</w:t>
      </w:r>
    </w:p>
    <w:p>
      <w:r>
        <w:t>萧登福著 其他作品：https://www.jiaokey.com/tag/萧登福著.html</w:t>
      </w:r>
    </w:p>
    <w:p>
      <w:r>
        <w:t>台北：文津出版社 出版图书：https://www.jiaokey.com/tag/台北：文津出版社.html</w:t>
      </w:r>
    </w:p>
    <w:p>
      <w:r>
        <w:t>关键词搜索：https://www.jiaokey.com/tag/先秦两汉冥界及神仙思想探原.html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