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明清文学与思想中之主体意识与社会  文学篇  下</w:t>
      </w:r>
    </w:p>
    <w:p>
      <w:r>
        <w:rPr>
          <w:rFonts w:ascii="宋体" w:hAnsi="宋体" w:eastAsia="宋体"/>
          <w:sz w:val="24"/>
        </w:rPr>
        <w:t>王瑷玲主编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明清文学与思想中之主体意识与社会  文学篇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中研院文哲所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本书出售、求购地址：https://www.jiaokey.com/book/detail/12592897.html</w:t>
      </w:r>
    </w:p>
    <w:p>
      <w:r>
        <w:t>更多相关图书推荐：https://www.jiaokey.com</w:t>
      </w:r>
    </w:p>
    <w:p>
      <w:r>
        <w:t>王瑷玲主编 其他作品：https://www.jiaokey.com/tag/王瑷玲主编.html</w:t>
      </w:r>
    </w:p>
    <w:p>
      <w:r>
        <w:t>中研院文哲所 出版图书：https://www.jiaokey.com/tag/中研院文哲所.html</w:t>
      </w:r>
    </w:p>
    <w:p>
      <w:r>
        <w:t>关键词搜索：https://www.jiaokey.com/tag/明清文学与思想中之主体意识与社会  文学篇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