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汕头果树资源</w:t>
      </w:r>
    </w:p>
    <w:p>
      <w:r>
        <w:rPr>
          <w:rFonts w:ascii="宋体" w:hAnsi="宋体" w:eastAsia="宋体"/>
          <w:sz w:val="24"/>
        </w:rPr>
        <w:t>黄敦文，梁启明，张与尊，杨碧浩编著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汕头果树资源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黄敦文，梁启明，张与尊，杨碧浩编著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本书出售、求购地址：https://www.jiaokey.com/book/detail/12589775.html</w:t>
      </w:r>
    </w:p>
    <w:p>
      <w:r>
        <w:t>更多相关图书推荐：https://www.jiaokey.com</w:t>
      </w:r>
    </w:p>
    <w:p>
      <w:r>
        <w:t>黄敦文，梁启明，张与尊，杨碧浩编著 其他作品：https://www.jiaokey.com/tag/黄敦文，梁启明，张与尊，杨碧浩编著.html</w:t>
      </w:r>
    </w:p>
    <w:p>
      <w:r>
        <w:t>汕头市科学技术委员会 出版图书：https://www.jiaokey.com/tag/汕头市科学技术委员会.html</w:t>
      </w:r>
    </w:p>
    <w:p>
      <w:r>
        <w:t>关键词搜索：https://www.jiaokey.com/tag/汕头果树资源.html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