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维文文法概要  第2种</w:t>
      </w:r>
    </w:p>
    <w:p>
      <w:r>
        <w:rPr>
          <w:rFonts w:ascii="宋体" w:hAnsi="宋体" w:eastAsia="宋体"/>
          <w:sz w:val="24"/>
        </w:rPr>
        <w:t>（苏）巴斯克科人著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维文文法概要  第2种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（苏）巴斯克科人著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国立边疆文化教育馆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本书出售、求购地址：https://www.jiaokey.com/book/detail/12586122.html</w:t>
      </w:r>
    </w:p>
    <w:p>
      <w:r>
        <w:t>更多相关图书推荐：https://www.jiaokey.com</w:t>
      </w:r>
    </w:p>
    <w:p>
      <w:r>
        <w:t>（苏）巴斯克科人著 其他作品：https://www.jiaokey.com/tag/（苏）巴斯克科人著.html</w:t>
      </w:r>
    </w:p>
    <w:p>
      <w:r>
        <w:t>国立边疆文化教育馆 出版图书：https://www.jiaokey.com/tag/国立边疆文化教育馆.html</w:t>
      </w:r>
    </w:p>
    <w:p>
      <w:r>
        <w:t>关键词搜索：https://www.jiaokey.com/tag/维文文法概要  第2种.html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