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水稻联合收获机的设计与制造  初稿</w:t>
      </w:r>
    </w:p>
    <w:p>
      <w:r>
        <w:rPr>
          <w:rFonts w:ascii="宋体" w:hAnsi="宋体" w:eastAsia="宋体"/>
          <w:sz w:val="24"/>
        </w:rPr>
        <w:t>《农业机械学》教材编写小组编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水稻联合收获机的设计与制造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《农业机械学》教材编写小组编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华南农学院革委会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本书出售、求购地址：https://www.jiaokey.com/book/detail/12585647.html</w:t>
      </w:r>
    </w:p>
    <w:p>
      <w:r>
        <w:t>更多相关图书推荐：https://www.jiaokey.com</w:t>
      </w:r>
    </w:p>
    <w:p>
      <w:r>
        <w:t>《农业机械学》教材编写小组编 其他作品：https://www.jiaokey.com/tag/《农业机械学》教材编写小组编.html</w:t>
      </w:r>
    </w:p>
    <w:p>
      <w:r>
        <w:t>华南农学院革委会 出版图书：https://www.jiaokey.com/tag/华南农学院革委会.html</w:t>
      </w:r>
    </w:p>
    <w:p>
      <w:r>
        <w:t>关键词搜索：https://www.jiaokey.com/tag/水稻联合收获机的设计与制造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