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国际象棋残局指要</w:t>
      </w:r>
    </w:p>
    <w:p>
      <w:r>
        <w:rPr>
          <w:rFonts w:ascii="宋体" w:hAnsi="宋体" w:eastAsia="宋体"/>
          <w:sz w:val="24"/>
        </w:rPr>
        <w:t>（俄罗斯）阿维尔巴赫著；许宏治译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国际象棋残局指要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（俄罗斯）阿维尔巴赫著；许宏治译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本书出售、求购地址：https://www.jiaokey.com/book/detail/12584183.html</w:t>
      </w:r>
    </w:p>
    <w:p>
      <w:r>
        <w:t>更多相关图书推荐：https://www.jiaokey.com</w:t>
      </w:r>
    </w:p>
    <w:p>
      <w:r>
        <w:t>（俄罗斯）阿维尔巴赫著；许宏治译 其他作品：https://www.jiaokey.com/tag/（俄罗斯）阿维尔巴赫著；许宏治译.html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关键词搜索：https://www.jiaokey.com/tag/国际象棋残局指要.html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