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中国美术史教学纲要</w:t>
      </w:r>
    </w:p>
    <w:p>
      <w:r>
        <w:rPr>
          <w:rFonts w:ascii="宋体" w:hAnsi="宋体" w:eastAsia="宋体"/>
          <w:sz w:val="24"/>
        </w:rPr>
        <w:t>陈少丰等编著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3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中国美术史教学纲要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中央美术学院美术史系，广州美术学院教务处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本书出售、求购地址：https://www.jiaokey.com/book/detail/12583889.html</w:t>
      </w:r>
    </w:p>
    <w:p>
      <w:r>
        <w:t>更多相关图书推荐：https://www.jiaokey.com</w:t>
      </w:r>
    </w:p>
    <w:p>
      <w:r>
        <w:t>陈少丰等编著 其他作品：https://www.jiaokey.com/tag/陈少丰等编著.html</w:t>
      </w:r>
    </w:p>
    <w:p>
      <w:r>
        <w:t>中央美术学院美术史系，广州美术学院教务处 出版图书：https://www.jiaokey.com/tag/中央美术学院美术史系，广州美术学院教务处.html</w:t>
      </w:r>
    </w:p>
    <w:p>
      <w:r>
        <w:t>关键词搜索：https://www.jiaokey.com/tag/中国美术史教学纲要.html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