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新俄的文艺政策</w:t>
      </w:r>
    </w:p>
    <w:p>
      <w:r>
        <w:rPr>
          <w:rFonts w:ascii="宋体" w:hAnsi="宋体" w:eastAsia="宋体"/>
          <w:sz w:val="24"/>
        </w:rPr>
        <w:t>日本藏原惟人外村史郎同，画室重译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新俄的文艺政策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日本藏原惟人外村史郎同，画室重译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本书出售、求购地址：https://www.jiaokey.com/book/detail/12579616.html</w:t>
      </w:r>
    </w:p>
    <w:p>
      <w:r>
        <w:t>更多相关图书推荐：https://www.jiaokey.com</w:t>
      </w:r>
    </w:p>
    <w:p>
      <w:r>
        <w:t>日本藏原惟人外村史郎同，画室重译 其他作品：https://www.jiaokey.com/tag/日本藏原惟人外村史郎同，画室重译.html</w:t>
      </w:r>
    </w:p>
    <w:p>
      <w:r>
        <w:t>光华书局 出版图书：https://www.jiaokey.com/tag/光华书局.html</w:t>
      </w:r>
    </w:p>
    <w:p>
      <w:r>
        <w:t>关键词搜索：https://www.jiaokey.com/tag/新俄的文艺政策.html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