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早中晚稻开花习性之研究</w:t>
      </w:r>
    </w:p>
    <w:p>
      <w:r>
        <w:rPr>
          <w:rFonts w:ascii="宋体" w:hAnsi="宋体" w:eastAsia="宋体"/>
          <w:sz w:val="24"/>
        </w:rPr>
        <w:t>林成耀（C.Y.Lin）编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早中晚稻开花习性之研究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林成耀（C.Y.Lin）编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福建协和大学农学院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本书出售、求购地址：https://www.jiaokey.com/book/detail/12573037.html</w:t>
      </w:r>
    </w:p>
    <w:p>
      <w:r>
        <w:t>更多相关图书推荐：https://www.jiaokey.com</w:t>
      </w:r>
    </w:p>
    <w:p>
      <w:r>
        <w:t>林成耀（C.Y.Lin）编 其他作品：https://www.jiaokey.com/tag/林成耀（C.Y.Lin）编.html</w:t>
      </w:r>
    </w:p>
    <w:p>
      <w:r>
        <w:t>福建协和大学农学院 出版图书：https://www.jiaokey.com/tag/福建协和大学农学院.html</w:t>
      </w:r>
    </w:p>
    <w:p>
      <w:r>
        <w:t>关键词搜索：https://www.jiaokey.com/tag/早中晚稻开花习性之研究.html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