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田径及全能运动比赛规则</w:t>
      </w:r>
    </w:p>
    <w:p>
      <w:r>
        <w:rPr>
          <w:rFonts w:ascii="宋体" w:hAnsi="宋体" w:eastAsia="宋体"/>
          <w:sz w:val="24"/>
        </w:rPr>
        <w:t>国际田径运动协会（原订者）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田径及全能运动比赛规则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国际田径运动协会（原订者）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上海特别市体育会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本书出售、求购地址：https://www.jiaokey.com/book/detail/12572962.html</w:t>
      </w:r>
    </w:p>
    <w:p>
      <w:r>
        <w:t>更多相关图书推荐：https://www.jiaokey.com</w:t>
      </w:r>
    </w:p>
    <w:p>
      <w:r>
        <w:t>国际田径运动协会（原订者） 其他作品：https://www.jiaokey.com/tag/国际田径运动协会（原订者）.html</w:t>
      </w:r>
    </w:p>
    <w:p>
      <w:r>
        <w:t>上海特别市体育会 出版图书：https://www.jiaokey.com/tag/上海特别市体育会.html</w:t>
      </w:r>
    </w:p>
    <w:p>
      <w:r>
        <w:t>关键词搜索：https://www.jiaokey.com/tag/田径及全能运动比赛规则.html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