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萨班斯-奥克斯利法案后的公司治理</w:t>
      </w:r>
    </w:p>
    <w:p>
      <w:r>
        <w:rPr>
          <w:rFonts w:ascii="宋体" w:hAnsi="宋体" w:eastAsia="宋体"/>
          <w:sz w:val="24"/>
        </w:rPr>
        <w:t>（澳）保罗·阿里，（美）格雷格·格雷戈里乌编著；王燕祥，陈铃译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萨班斯-奥克斯利法案后的公司治理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（澳）保罗·阿里，（美）格雷格·格雷戈里乌编著；王燕祥，陈铃译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本书出售、求购地址：https://www.jiaokey.com/book/detail/12568239.html</w:t>
      </w:r>
    </w:p>
    <w:p>
      <w:r>
        <w:t>更多相关图书推荐：https://www.jiaokey.com</w:t>
      </w:r>
    </w:p>
    <w:p>
      <w:r>
        <w:t>（澳）保罗·阿里，（美）格雷格·格雷戈里乌编著；王燕祥，陈铃译 其他作品：https://www.jiaokey.com/tag/（澳）保罗·阿里，（美）格雷格·格雷戈里乌编著；王燕祥，陈铃译.html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关键词搜索：https://www.jiaokey.com/tag/萨班斯-奥克斯利法案后的公司治理.html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