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二十世纪西方美学经典文本第四卷:后现代景观</w:t>
      </w:r>
    </w:p>
    <w:p>
      <w:r>
        <w:rPr>
          <w:rFonts w:ascii="宋体" w:hAnsi="宋体" w:eastAsia="宋体"/>
          <w:sz w:val="24"/>
        </w:rPr>
        <w:t>包亚明主编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二十世纪西方美学经典文本第四卷:后现代景观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本书出售、求购地址：https://www.jiaokey.com/book/detail/12566048.html</w:t>
      </w:r>
    </w:p>
    <w:p>
      <w:r>
        <w:t>更多相关图书推荐：https://www.jiaokey.com</w:t>
      </w:r>
    </w:p>
    <w:p>
      <w:r>
        <w:t>包亚明主编 其他作品：https://www.jiaokey.com/tag/包亚明主编.html</w:t>
      </w:r>
    </w:p>
    <w:p>
      <w:r>
        <w:t>关键词搜索：https://www.jiaokey.com/tag/二十世纪西方美学经典文本第四卷:后现代景观.html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