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儿童游戏新法</w:t>
      </w:r>
    </w:p>
    <w:p>
      <w:r>
        <w:rPr>
          <w:rFonts w:ascii="宋体" w:hAnsi="宋体" w:eastAsia="宋体"/>
          <w:sz w:val="24"/>
        </w:rPr>
        <w:t>陈鹤琴，屠哲梅编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儿童游戏新法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陈鹤琴，屠哲梅编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上海儿童书局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本书出售、求购地址：https://www.jiaokey.com/book/detail/12564611.html</w:t>
      </w:r>
    </w:p>
    <w:p>
      <w:r>
        <w:t>更多相关图书推荐：https://www.jiaokey.com</w:t>
      </w:r>
    </w:p>
    <w:p>
      <w:r>
        <w:t>陈鹤琴，屠哲梅编 其他作品：https://www.jiaokey.com/tag/陈鹤琴，屠哲梅编.html</w:t>
      </w:r>
    </w:p>
    <w:p>
      <w:r>
        <w:t>上海儿童书局 出版图书：https://www.jiaokey.com/tag/上海儿童书局.html</w:t>
      </w:r>
    </w:p>
    <w:p>
      <w:r>
        <w:t>关键词搜索：https://www.jiaokey.com/tag/儿童游戏新法.html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