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税收促进“两型”社会建设研究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税收促进“两型”社会建设研究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本书出售、求购地址：https://www.jiaokey.com/book/detail/12558316.html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关键词搜索：https://www.jiaokey.com/tag/税收促进“两型”社会建设研究.html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