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剑胆琴心  长江流域的奇人异士</w:t>
      </w:r>
    </w:p>
    <w:p>
      <w:r>
        <w:rPr>
          <w:rFonts w:ascii="宋体" w:hAnsi="宋体" w:eastAsia="宋体"/>
          <w:sz w:val="24"/>
        </w:rPr>
        <w:t>张笃勤，严用民，刘行芳著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剑胆琴心  长江流域的奇人异士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张笃勤，严用民，刘行芳著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本书出售、求购地址：https://www.jiaokey.com/book/detail/12558219.html</w:t>
      </w:r>
    </w:p>
    <w:p>
      <w:r>
        <w:t>更多相关图书推荐：https://www.jiaokey.com</w:t>
      </w:r>
    </w:p>
    <w:p>
      <w:r>
        <w:t>张笃勤，严用民，刘行芳著 其他作品：https://www.jiaokey.com/tag/张笃勤，严用民，刘行芳著.html</w:t>
      </w:r>
    </w:p>
    <w:p>
      <w:r>
        <w:t>武汉:武汉出版社,2006.10 出版图书：https://www.jiaokey.com/tag/武汉:武汉出版社,2006.10.html</w:t>
      </w:r>
    </w:p>
    <w:p>
      <w:r>
        <w:t>关键词搜索：https://www.jiaokey.com/tag/剑胆琴心  长江流域的奇人异士.html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