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政治经济学方法论</w:t>
      </w:r>
    </w:p>
    <w:p>
      <w:r>
        <w:rPr>
          <w:rFonts w:ascii="宋体" w:hAnsi="宋体" w:eastAsia="宋体"/>
          <w:sz w:val="24"/>
        </w:rPr>
        <w:t>（苏）拉皮多士，（苏）渥斯托洛维迁诺夫著；吴清友译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（苏）拉皮多士，（苏）渥斯托洛维迁诺夫著；吴清友译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本书出售、求购地址：https://www.jiaokey.com/book/detail/12555829.html</w:t>
      </w:r>
    </w:p>
    <w:p>
      <w:r>
        <w:t>更多相关图书推荐：https://www.jiaokey.com</w:t>
      </w:r>
    </w:p>
    <w:p>
      <w:r>
        <w:t>（苏）拉皮多士，（苏）渥斯托洛维迁诺夫著；吴清友译 其他作品：https://www.jiaokey.com/tag/（苏）拉皮多士，（苏）渥斯托洛维迁诺夫著；吴清友译.html</w:t>
      </w:r>
    </w:p>
    <w:p>
      <w:r>
        <w:t>神州国光社 出版图书：https://www.jiaokey.com/tag/神州国光社.html</w:t>
      </w:r>
    </w:p>
    <w:p>
      <w:r>
        <w:t>关键词搜索：https://www.jiaokey.com/tag/政治经济学方法论.html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