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机载电源系统设计参考资料  1  系统设计原理  2  系统要求</w:t>
      </w:r>
    </w:p>
    <w:p>
      <w:r>
        <w:rPr>
          <w:rFonts w:ascii="宋体" w:hAnsi="宋体" w:eastAsia="宋体"/>
          <w:sz w:val="24"/>
        </w:rPr>
        <w:t>国外航空编辑部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机载电源系统设计参考资料  1  系统设计原理  2  系统要求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国外航空编辑部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本书出售、求购地址：https://www.jiaokey.com/book/detail/12555473.html</w:t>
      </w:r>
    </w:p>
    <w:p>
      <w:r>
        <w:t>更多相关图书推荐：https://www.jiaokey.com</w:t>
      </w:r>
    </w:p>
    <w:p>
      <w:r>
        <w:t>国外航空编辑部 其他作品：https://www.jiaokey.com/tag/国外航空编辑部.html</w:t>
      </w:r>
    </w:p>
    <w:p>
      <w:r>
        <w:t>关键词搜索：https://www.jiaokey.com/tag/机载电源系统设计参考资料  1  系统设计原理  2  系统要求.html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