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昆虫性诱剂及其应用</w:t>
      </w:r>
    </w:p>
    <w:p>
      <w:r>
        <w:rPr>
          <w:rFonts w:ascii="宋体" w:hAnsi="宋体" w:eastAsia="宋体"/>
          <w:sz w:val="24"/>
        </w:rPr>
        <w:t>金坛县昆虫激素研究室编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昆虫性诱剂及其应用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金坛县昆虫激素研究室编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江苏省镇江地区革委会计委科技组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本书出售、求购地址：https://www.jiaokey.com/book/detail/12546544.html</w:t>
      </w:r>
    </w:p>
    <w:p>
      <w:r>
        <w:t>更多相关图书推荐：https://www.jiaokey.com</w:t>
      </w:r>
    </w:p>
    <w:p>
      <w:r>
        <w:t>金坛县昆虫激素研究室编 其他作品：https://www.jiaokey.com/tag/金坛县昆虫激素研究室编.html</w:t>
      </w:r>
    </w:p>
    <w:p>
      <w:r>
        <w:t>江苏省镇江地区革委会计委科技组 出版图书：https://www.jiaokey.com/tag/江苏省镇江地区革委会计委科技组.html</w:t>
      </w:r>
    </w:p>
    <w:p>
      <w:r>
        <w:t>关键词搜索：https://www.jiaokey.com/tag/昆虫性诱剂及其应用.html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