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女真金国的百年风云. 开国篇</w:t>
      </w:r>
    </w:p>
    <w:p>
      <w:r>
        <w:rPr>
          <w:rFonts w:ascii="宋体" w:hAnsi="宋体" w:eastAsia="宋体"/>
          <w:sz w:val="24"/>
        </w:rPr>
        <w:t>东吴春秋著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女真金国的百年风云. 开国篇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本书出售、求购地址：https://www.jiaokey.com/book/detail/12545326.html</w:t>
      </w:r>
    </w:p>
    <w:p>
      <w:r>
        <w:t>更多相关图书推荐：https://www.jiaokey.com</w:t>
      </w:r>
    </w:p>
    <w:p>
      <w:r>
        <w:t>东吴春秋著 其他作品：https://www.jiaokey.com/tag/东吴春秋著.html</w:t>
      </w:r>
    </w:p>
    <w:p>
      <w:r>
        <w:t>凤凰出版社 出版图书：https://www.jiaokey.com/tag/凤凰出版社.html</w:t>
      </w:r>
    </w:p>
    <w:p>
      <w:r>
        <w:t>关键词搜索：https://www.jiaokey.com/tag/女真金国的百年风云. 开国篇.html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