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稻草在反刍家畜饲料中的应用</w:t>
      </w:r>
    </w:p>
    <w:p>
      <w:r>
        <w:rPr>
          <w:rFonts w:ascii="宋体" w:hAnsi="宋体" w:eastAsia="宋体"/>
          <w:sz w:val="24"/>
        </w:rPr>
        <w:t>甄二英，冀一伦译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稻草在反刍家畜饲料中的应用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甄二英，冀一伦译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本书出售、求购地址：https://www.jiaokey.com/book/detail/12544955.html</w:t>
      </w:r>
    </w:p>
    <w:p>
      <w:r>
        <w:t>更多相关图书推荐：https://www.jiaokey.com</w:t>
      </w:r>
    </w:p>
    <w:p>
      <w:r>
        <w:t>甄二英，冀一伦译 其他作品：https://www.jiaokey.com/tag/甄二英，冀一伦译.html</w:t>
      </w:r>
    </w:p>
    <w:p>
      <w:r>
        <w:t>关键词搜索：https://www.jiaokey.com/tag/稻草在反刍家畜饲料中的应用.html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