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金刚般若波罗蜜经破空论</w:t>
      </w:r>
    </w:p>
    <w:p>
      <w:r>
        <w:rPr>
          <w:rFonts w:ascii="宋体" w:hAnsi="宋体" w:eastAsia="宋体"/>
          <w:sz w:val="24"/>
        </w:rPr>
        <w:t>智旭大师造论智大师述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金刚般若波罗蜜经破空论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智旭大师造论智大师述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福建莆田广化寺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本书出售、求购地址：https://www.jiaokey.com/book/detail/12543193.html</w:t>
      </w:r>
    </w:p>
    <w:p>
      <w:r>
        <w:t>更多相关图书推荐：https://www.jiaokey.com</w:t>
      </w:r>
    </w:p>
    <w:p>
      <w:r>
        <w:t>智旭大师造论智大师述 其他作品：https://www.jiaokey.com/tag/智旭大师造论智大师述.html</w:t>
      </w:r>
    </w:p>
    <w:p>
      <w:r>
        <w:t>福建莆田广化寺 出版图书：https://www.jiaokey.com/tag/福建莆田广化寺.html</w:t>
      </w:r>
    </w:p>
    <w:p>
      <w:r>
        <w:t>关键词搜索：https://www.jiaokey.com/tag/金刚般若波罗蜜经破空论.html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