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辩证唯物论与历史唯物论基本问题  4</w:t>
      </w:r>
    </w:p>
    <w:p>
      <w:r>
        <w:rPr>
          <w:rFonts w:ascii="宋体" w:hAnsi="宋体" w:eastAsia="宋体"/>
          <w:sz w:val="24"/>
        </w:rPr>
        <w:t>博古编译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辩证唯物论与历史唯物论基本问题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本书出售、求购地址：https://www.jiaokey.com/book/detail/12541746.html</w:t>
      </w:r>
    </w:p>
    <w:p>
      <w:r>
        <w:t>更多相关图书推荐：https://www.jiaokey.com</w:t>
      </w:r>
    </w:p>
    <w:p>
      <w:r>
        <w:t>博古编译 其他作品：https://www.jiaokey.com/tag/博古编译.html</w:t>
      </w:r>
    </w:p>
    <w:p>
      <w:r>
        <w:t>山东新华书店 出版图书：https://www.jiaokey.com/tag/山东新华书店.html</w:t>
      </w:r>
    </w:p>
    <w:p>
      <w:r>
        <w:t>关键词搜索：https://www.jiaokey.com/tag/辩证唯物论与历史唯物论基本问题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