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苏俄与资本主义国家的关系  1921-1922年由战争转向和平时期</w:t>
      </w:r>
    </w:p>
    <w:p>
      <w:r>
        <w:rPr>
          <w:rFonts w:ascii="宋体" w:hAnsi="宋体" w:eastAsia="宋体"/>
          <w:sz w:val="24"/>
        </w:rPr>
        <w:t>鲁宾斯坦著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苏俄与资本主义国家的关系  1921-1922年由战争转向和平时期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鲁宾斯坦著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本书出售、求购地址：https://www.jiaokey.com/book/detail/12541518.html</w:t>
      </w:r>
    </w:p>
    <w:p>
      <w:r>
        <w:t>更多相关图书推荐：https://www.jiaokey.com</w:t>
      </w:r>
    </w:p>
    <w:p>
      <w:r>
        <w:t>鲁宾斯坦著 其他作品：https://www.jiaokey.com/tag/鲁宾斯坦著.html</w:t>
      </w:r>
    </w:p>
    <w:p>
      <w:r>
        <w:t>关键词搜索：https://www.jiaokey.com/tag/苏俄与资本主义国家的关系  1921-1922年由战争转向和平时期.html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