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《新唐书·艺文志》著录小说集解</w:t>
      </w:r>
    </w:p>
    <w:p>
      <w:r>
        <w:rPr>
          <w:rFonts w:ascii="宋体" w:hAnsi="宋体" w:eastAsia="宋体"/>
          <w:sz w:val="24"/>
        </w:rPr>
        <w:t>王齐洲，毕彩霞编著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《新唐书·艺文志》著录小说集解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王齐洲，毕彩霞编著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本书出售、求购地址：https://www.jiaokey.com/book/detail/12541000.html</w:t>
      </w:r>
    </w:p>
    <w:p>
      <w:r>
        <w:t>更多相关图书推荐：https://www.jiaokey.com</w:t>
      </w:r>
    </w:p>
    <w:p>
      <w:r>
        <w:t>王齐洲，毕彩霞编著 其他作品：https://www.jiaokey.com/tag/王齐洲，毕彩霞编著.html</w:t>
      </w:r>
    </w:p>
    <w:p>
      <w:r>
        <w:t>长沙：岳麓书社 出版图书：https://www.jiaokey.com/tag/长沙：岳麓书社.html</w:t>
      </w:r>
    </w:p>
    <w:p>
      <w:r>
        <w:t>关键词搜索：https://www.jiaokey.com/tag/《新唐书·艺文志》著录小说集解.html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