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面向21世纪北京高等职业教育发展战略</w:t>
      </w:r>
    </w:p>
    <w:p>
      <w:r>
        <w:rPr>
          <w:rFonts w:ascii="宋体" w:hAnsi="宋体" w:eastAsia="宋体"/>
          <w:sz w:val="24"/>
        </w:rPr>
        <w:t>《面向21世纪北京高等职业教育发展战略研究》课题组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面向21世纪北京高等职业教育发展战略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《面向21世纪北京高等职业教育发展战略研究》课题组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本书出售、求购地址：https://www.jiaokey.com/book/detail/12540026.html</w:t>
      </w:r>
    </w:p>
    <w:p>
      <w:r>
        <w:t>更多相关图书推荐：https://www.jiaokey.com</w:t>
      </w:r>
    </w:p>
    <w:p>
      <w:r>
        <w:t>《面向21世纪北京高等职业教育发展战略研究》课题组 其他作品：https://www.jiaokey.com/tag/《面向21世纪北京高等职业教育发展战略研究》课题组.html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关键词搜索：https://www.jiaokey.com/tag/面向21世纪北京高等职业教育发展战略.html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