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杜威的艺术、经验与自然理论：感受的诸视野</w:t>
      </w:r>
    </w:p>
    <w:p>
      <w:r>
        <w:rPr>
          <w:rFonts w:ascii="宋体" w:hAnsi="宋体" w:eastAsia="宋体"/>
          <w:sz w:val="24"/>
        </w:rPr>
        <w:t>（美）托马斯·亚历山大著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杜威的艺术、经验与自然理论：感受的诸视野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本书出售、求购地址：https://www.jiaokey.com/book/detail/12537042.html</w:t>
      </w:r>
    </w:p>
    <w:p>
      <w:r>
        <w:t>更多相关图书推荐：https://www.jiaokey.com</w:t>
      </w:r>
    </w:p>
    <w:p>
      <w:r>
        <w:t>（美）托马斯·亚历山大著 其他作品：https://www.jiaokey.com/tag/（美）托马斯·亚历山大著.html</w:t>
      </w:r>
    </w:p>
    <w:p>
      <w:r>
        <w:t>关键词搜索：https://www.jiaokey.com/tag/杜威的艺术、经验与自然理论：感受的诸视野.html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