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锤击动力法确定单桩承载力的研究报告</w:t>
      </w:r>
    </w:p>
    <w:p>
      <w:r>
        <w:rPr>
          <w:rFonts w:ascii="宋体" w:hAnsi="宋体" w:eastAsia="宋体"/>
          <w:sz w:val="24"/>
        </w:rPr>
        <w:t>四川省建筑科学研究所编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锤击动力法确定单桩承载力的研究报告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四川省建筑科学研究所编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本书出售、求购地址：https://www.jiaokey.com/book/detail/12535501.html</w:t>
      </w:r>
    </w:p>
    <w:p>
      <w:r>
        <w:t>更多相关图书推荐：https://www.jiaokey.com</w:t>
      </w:r>
    </w:p>
    <w:p>
      <w:r>
        <w:t>四川省建筑科学研究所编 其他作品：https://www.jiaokey.com/tag/四川省建筑科学研究所编.html</w:t>
      </w:r>
    </w:p>
    <w:p>
      <w:r>
        <w:t>关键词搜索：https://www.jiaokey.com/tag/锤击动力法确定单桩承载力的研究报告.html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