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高碱度烧结矿生产</w:t>
      </w:r>
    </w:p>
    <w:p>
      <w:r>
        <w:rPr>
          <w:rFonts w:ascii="宋体" w:hAnsi="宋体" w:eastAsia="宋体"/>
          <w:sz w:val="24"/>
        </w:rPr>
        <w:t>罗吉等编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高碱度烧结矿生产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四川省金属学四川省冶金情报标准研究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本书出售、求购地址：https://www.jiaokey.com/book/detail/12535368.html</w:t>
      </w:r>
    </w:p>
    <w:p>
      <w:r>
        <w:t>更多相关图书推荐：https://www.jiaokey.com</w:t>
      </w:r>
    </w:p>
    <w:p>
      <w:r>
        <w:t>罗吉等编 其他作品：https://www.jiaokey.com/tag/罗吉等编.html</w:t>
      </w:r>
    </w:p>
    <w:p>
      <w:r>
        <w:t>四川省金属学四川省冶金情报标准研究 出版图书：https://www.jiaokey.com/tag/四川省金属学四川省冶金情报标准研究.html</w:t>
      </w:r>
    </w:p>
    <w:p>
      <w:r>
        <w:t>关键词搜索：https://www.jiaokey.com/tag/高碱度烧结矿生产.html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